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R4-2311510</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Toulouse, France, Aug 21 – Aug 25, 2023</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w:t>
      </w:r>
      <w:r>
        <w:rPr>
          <w:rFonts w:hint="eastAsia" w:ascii="Arial" w:hAnsi="Arial"/>
          <w:b/>
          <w:sz w:val="24"/>
          <w:highlight w:val="none"/>
          <w:lang w:val="en-US" w:eastAsia="zh-CN"/>
        </w:rPr>
        <w:t xml:space="preserve">ATG </w:t>
      </w:r>
      <w:r>
        <w:rPr>
          <w:rFonts w:hint="eastAsia" w:ascii="Arial" w:hAnsi="Arial"/>
          <w:b/>
          <w:sz w:val="24"/>
          <w:highlight w:val="none"/>
          <w:lang w:val="pt-BR" w:eastAsia="zh-CN"/>
        </w:rPr>
        <w:t>BS demodulation performance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8.13.5.3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spacing w:before="120" w:after="120"/>
        <w:rPr>
          <w:rFonts w:hint="default"/>
          <w:kern w:val="0"/>
          <w:sz w:val="20"/>
          <w:lang w:val="en-US"/>
        </w:rPr>
      </w:pPr>
      <w:r>
        <w:rPr>
          <w:rFonts w:hint="eastAsia" w:cs="Times New Roman"/>
          <w:kern w:val="2"/>
          <w:sz w:val="21"/>
          <w:szCs w:val="22"/>
          <w:highlight w:val="none"/>
          <w:lang w:val="en-US" w:eastAsia="zh-CN" w:bidi="ar-SA"/>
        </w:rPr>
        <w:t>During the last RAN4 meeting, some conclusions has been reached for ATG UL demodulation. which are listed below[1]. We want to share some views on ATG BS demodulation performance requirements.</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9"/>
        <w:rPr>
          <w:rFonts w:hint="eastAsia"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2.1</w:t>
      </w:r>
      <w:r>
        <w:rPr>
          <w:rFonts w:hint="eastAsia" w:cs="Times New Roman"/>
          <w:b/>
          <w:kern w:val="0"/>
          <w:sz w:val="21"/>
          <w:szCs w:val="21"/>
          <w:lang w:val="en-US" w:eastAsia="zh-CN"/>
        </w:rPr>
        <w:t xml:space="preserve"> Test scope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3-1-1: Test scope for PUSCH</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Reuse the existing TN BS requirement and companies discuss which requirements can be taken as mandatory for ATG BS demodulation. Other features should be optional for the ATG BS and which cases can be tested should be based on BS manufacturer declaration</w:t>
            </w:r>
          </w:p>
          <w:p>
            <w:pPr>
              <w:pStyle w:val="32"/>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Candidate mandatory requirements</w:t>
            </w:r>
          </w:p>
          <w:p>
            <w:pPr>
              <w:pStyle w:val="32"/>
              <w:numPr>
                <w:ilvl w:val="2"/>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Normal PUSCH demodulation</w:t>
            </w:r>
          </w:p>
          <w:p>
            <w:pPr>
              <w:pStyle w:val="32"/>
              <w:numPr>
                <w:ilvl w:val="2"/>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UCI multiplexing on PUSCH</w:t>
            </w:r>
          </w:p>
          <w:p>
            <w:pPr>
              <w:pStyle w:val="32"/>
              <w:numPr>
                <w:ilvl w:val="0"/>
                <w:numId w:val="7"/>
              </w:numPr>
              <w:overflowPunct w:val="0"/>
              <w:autoSpaceDE w:val="0"/>
              <w:autoSpaceDN w:val="0"/>
              <w:adjustRightInd w:val="0"/>
              <w:spacing w:after="120"/>
              <w:ind w:firstLineChars="0"/>
              <w:textAlignment w:val="baseline"/>
              <w:rPr>
                <w:rFonts w:hint="default" w:cs="Times New Roman"/>
                <w:b/>
                <w:kern w:val="0"/>
                <w:sz w:val="24"/>
                <w:szCs w:val="24"/>
                <w:vertAlign w:val="baseline"/>
                <w:lang w:val="en-US" w:eastAsia="zh-CN"/>
              </w:rPr>
            </w:pPr>
            <w:r>
              <w:rPr>
                <w:rFonts w:eastAsia="宋体" w:cs="Times New Roman"/>
                <w:sz w:val="20"/>
                <w:szCs w:val="20"/>
              </w:rPr>
              <w:t>Introduce new dedicated requirement with limited test cases for PUSCH, which only applied for BS declared to support ATG scenario.</w:t>
            </w:r>
          </w:p>
        </w:tc>
      </w:tr>
    </w:tbl>
    <w:p>
      <w:pPr>
        <w:spacing w:beforeLines="-2147483648" w:after="180" w:afterLines="-2147483648" w:line="240" w:lineRule="auto"/>
        <w:jc w:val="both"/>
        <w:rPr>
          <w:rFonts w:hint="default" w:ascii="Times New Roman" w:hAnsi="Times New Roman" w:eastAsia="宋体" w:cs="Times New Roman"/>
          <w:kern w:val="0"/>
          <w:sz w:val="20"/>
          <w:highlight w:val="yellow"/>
          <w:lang w:val="en-US" w:eastAsia="zh-CN"/>
        </w:rPr>
      </w:pPr>
    </w:p>
    <w:p>
      <w:pPr>
        <w:spacing w:beforeLines="-2147483648" w:after="180" w:afterLines="-2147483648" w:line="240" w:lineRule="auto"/>
        <w:jc w:val="both"/>
        <w:rPr>
          <w:rFonts w:hint="default" w:cs="Times New Roman"/>
          <w:kern w:val="0"/>
          <w:sz w:val="20"/>
          <w:highlight w:val="none"/>
          <w:lang w:val="en-US" w:eastAsia="zh-CN"/>
        </w:rPr>
      </w:pPr>
      <w:r>
        <w:rPr>
          <w:rFonts w:hint="eastAsia" w:cs="Times New Roman"/>
          <w:kern w:val="0"/>
          <w:sz w:val="20"/>
          <w:highlight w:val="none"/>
          <w:lang w:val="en-US" w:eastAsia="zh-CN"/>
        </w:rPr>
        <w:t>Regarding the test scope for PUSCH, normal PUSCH demodulation and UCI multiplexing on PUSCH are mandatory requirements for TN BS in TS 38.104. From demod perspective, we prefer considering normal PUSCH demodulation and UCI multiplexing on PUSCH as mandatory requirements.</w:t>
      </w:r>
    </w:p>
    <w:p>
      <w:pPr>
        <w:numPr>
          <w:ilvl w:val="0"/>
          <w:numId w:val="0"/>
        </w:numPr>
        <w:spacing w:before="120" w:after="120"/>
        <w:rPr>
          <w:rFonts w:hint="default" w:cs="Times New Roman"/>
          <w:b/>
          <w:kern w:val="0"/>
          <w:sz w:val="21"/>
          <w:szCs w:val="21"/>
          <w:lang w:val="en-US" w:eastAsia="zh-CN"/>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1. To consider normal PUSCH demodulation and UCI multiplexing on PUSCH as mandatory requirements.</w:t>
      </w:r>
    </w:p>
    <w:p>
      <w:pPr>
        <w:numPr>
          <w:ilvl w:val="0"/>
          <w:numId w:val="0"/>
        </w:numPr>
        <w:spacing w:before="120" w:after="120"/>
        <w:rPr>
          <w:rFonts w:hint="default" w:cs="Times New Roman"/>
          <w:b/>
          <w:kern w:val="0"/>
          <w:sz w:val="21"/>
          <w:szCs w:val="21"/>
          <w:lang w:val="en-US" w:eastAsia="zh-CN"/>
        </w:rPr>
      </w:pPr>
      <w:r>
        <w:rPr>
          <w:rFonts w:hint="eastAsia" w:cs="Times New Roman"/>
          <w:b/>
          <w:kern w:val="0"/>
          <w:sz w:val="21"/>
          <w:szCs w:val="21"/>
          <w:lang w:val="en-US" w:eastAsia="zh-CN"/>
        </w:rPr>
        <w:t>2.2 Rank and 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3-1-4: Rank and MCS</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pStyle w:val="32"/>
              <w:numPr>
                <w:ilvl w:val="0"/>
                <w:numId w:val="7"/>
              </w:numPr>
              <w:overflowPunct w:val="0"/>
              <w:autoSpaceDE w:val="0"/>
              <w:autoSpaceDN w:val="0"/>
              <w:adjustRightInd w:val="0"/>
              <w:spacing w:after="120"/>
              <w:ind w:firstLineChars="0"/>
              <w:textAlignment w:val="baseline"/>
              <w:rPr>
                <w:rFonts w:eastAsia="宋体"/>
                <w:sz w:val="20"/>
                <w:szCs w:val="20"/>
              </w:rPr>
            </w:pPr>
            <w:r>
              <w:rPr>
                <w:rFonts w:eastAsia="宋体"/>
                <w:sz w:val="20"/>
                <w:szCs w:val="20"/>
              </w:rPr>
              <w:t>For the test case which reusing existing requirements, cover 16QAM, 64QAM at least</w:t>
            </w:r>
          </w:p>
          <w:p>
            <w:pPr>
              <w:pStyle w:val="32"/>
              <w:numPr>
                <w:ilvl w:val="1"/>
                <w:numId w:val="7"/>
              </w:numPr>
              <w:overflowPunct w:val="0"/>
              <w:autoSpaceDE w:val="0"/>
              <w:autoSpaceDN w:val="0"/>
              <w:adjustRightInd w:val="0"/>
              <w:spacing w:after="120"/>
              <w:ind w:firstLineChars="0"/>
              <w:textAlignment w:val="baseline"/>
              <w:rPr>
                <w:rFonts w:eastAsia="宋体"/>
                <w:sz w:val="20"/>
                <w:szCs w:val="20"/>
              </w:rPr>
            </w:pPr>
            <w:r>
              <w:rPr>
                <w:rFonts w:eastAsia="宋体"/>
                <w:sz w:val="20"/>
                <w:szCs w:val="20"/>
              </w:rPr>
              <w:t xml:space="preserve">FFS for 256QAM supporting pending on UE RF session conclusion on the supporting UL 256QAM Tx </w:t>
            </w:r>
          </w:p>
          <w:p>
            <w:pPr>
              <w:pStyle w:val="32"/>
              <w:numPr>
                <w:ilvl w:val="0"/>
                <w:numId w:val="7"/>
              </w:numPr>
              <w:overflowPunct w:val="0"/>
              <w:autoSpaceDE w:val="0"/>
              <w:autoSpaceDN w:val="0"/>
              <w:adjustRightInd w:val="0"/>
              <w:spacing w:after="120"/>
              <w:ind w:firstLineChars="0"/>
              <w:textAlignment w:val="baseline"/>
              <w:rPr>
                <w:rFonts w:eastAsia="宋体"/>
                <w:sz w:val="20"/>
                <w:szCs w:val="20"/>
              </w:rPr>
            </w:pPr>
            <w:r>
              <w:rPr>
                <w:rFonts w:eastAsia="宋体"/>
                <w:sz w:val="20"/>
                <w:szCs w:val="20"/>
              </w:rPr>
              <w:t xml:space="preserve">For the new test case with new dedicated ATG requirement, cover 16QAM and 64QAM at least </w:t>
            </w:r>
          </w:p>
          <w:p>
            <w:pPr>
              <w:pStyle w:val="32"/>
              <w:numPr>
                <w:ilvl w:val="1"/>
                <w:numId w:val="7"/>
              </w:numPr>
              <w:overflowPunct w:val="0"/>
              <w:autoSpaceDE w:val="0"/>
              <w:autoSpaceDN w:val="0"/>
              <w:adjustRightInd w:val="0"/>
              <w:spacing w:after="120"/>
              <w:ind w:firstLineChars="0"/>
              <w:textAlignment w:val="baseline"/>
              <w:rPr>
                <w:rFonts w:hint="default" w:cs="Times New Roman"/>
                <w:b/>
                <w:kern w:val="0"/>
                <w:sz w:val="24"/>
                <w:szCs w:val="24"/>
                <w:vertAlign w:val="baseline"/>
                <w:lang w:val="en-US" w:eastAsia="zh-CN"/>
              </w:rPr>
            </w:pPr>
            <w:r>
              <w:rPr>
                <w:rFonts w:eastAsia="宋体"/>
                <w:sz w:val="20"/>
                <w:szCs w:val="20"/>
              </w:rPr>
              <w:t xml:space="preserve">FFS for 256QAM supporting pending on UE RF session conclusion on the supporting UL 256QAM Tx </w:t>
            </w:r>
          </w:p>
        </w:tc>
      </w:tr>
    </w:tbl>
    <w:p>
      <w:pPr>
        <w:rPr>
          <w:rFonts w:hint="eastAsia" w:cs="Times New Roman"/>
          <w:b w:val="0"/>
          <w:bCs/>
          <w:kern w:val="0"/>
          <w:sz w:val="21"/>
          <w:szCs w:val="21"/>
          <w:lang w:val="en-US" w:eastAsia="zh-CN" w:bidi="ar-SA"/>
        </w:rPr>
      </w:pPr>
    </w:p>
    <w:p>
      <w:pPr>
        <w:spacing w:beforeLines="-2147483648" w:after="180" w:afterLines="-2147483648" w:line="240" w:lineRule="auto"/>
        <w:jc w:val="both"/>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 xml:space="preserve">Regarding the 256QAM for ATG UL, UL 256QAM can be supported as optional in UE perspective. </w:t>
      </w:r>
      <w:r>
        <w:rPr>
          <w:rFonts w:hint="eastAsia" w:cs="Times New Roman"/>
          <w:kern w:val="0"/>
          <w:sz w:val="20"/>
          <w:lang w:val="en-US" w:eastAsia="zh-CN"/>
        </w:rPr>
        <w:t xml:space="preserve">And from our simulation results[2], UL 256QAM can be supported. </w:t>
      </w:r>
      <w:r>
        <w:rPr>
          <w:rFonts w:hint="eastAsia" w:ascii="Times New Roman" w:hAnsi="Times New Roman" w:eastAsia="宋体" w:cs="Times New Roman"/>
          <w:kern w:val="0"/>
          <w:sz w:val="20"/>
          <w:lang w:val="en-US" w:eastAsia="zh-CN"/>
        </w:rPr>
        <w:t>A</w:t>
      </w:r>
      <w:r>
        <w:rPr>
          <w:rFonts w:hint="eastAsia" w:cs="Times New Roman"/>
          <w:kern w:val="0"/>
          <w:sz w:val="20"/>
          <w:lang w:val="en-US" w:eastAsia="zh-CN"/>
        </w:rPr>
        <w:t>lso</w:t>
      </w:r>
      <w:r>
        <w:rPr>
          <w:rFonts w:hint="eastAsia" w:ascii="Times New Roman" w:hAnsi="Times New Roman" w:eastAsia="宋体" w:cs="Times New Roman"/>
          <w:kern w:val="0"/>
          <w:sz w:val="20"/>
          <w:lang w:val="en-US" w:eastAsia="zh-CN"/>
        </w:rPr>
        <w:t xml:space="preserve"> from BS perspective, demod requirements can be introduced based on BS vender declaration. </w:t>
      </w:r>
    </w:p>
    <w:p>
      <w:pPr>
        <w:rPr>
          <w:rFonts w:hint="default" w:ascii="Times New Roman" w:hAnsi="Times New Roman" w:eastAsia="宋体" w:cs="Times New Roman"/>
          <w:b/>
          <w:kern w:val="0"/>
          <w:sz w:val="21"/>
          <w:szCs w:val="21"/>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2. UL 256QAM can be supported in demod requirements.</w:t>
      </w:r>
    </w:p>
    <w:p>
      <w:pPr>
        <w:numPr>
          <w:ilvl w:val="0"/>
          <w:numId w:val="0"/>
        </w:numPr>
        <w:spacing w:before="120" w:after="120"/>
        <w:rPr>
          <w:rFonts w:hint="eastAsia" w:ascii="Times New Roman" w:hAnsi="Times New Roman" w:eastAsia="宋体" w:cs="Times New Roman"/>
          <w:b/>
          <w:kern w:val="0"/>
          <w:sz w:val="21"/>
          <w:szCs w:val="21"/>
          <w:lang w:val="en-US" w:eastAsia="zh-CN" w:bidi="ar-SA"/>
        </w:rPr>
      </w:pPr>
      <w:r>
        <w:rPr>
          <w:rFonts w:hint="eastAsia" w:cs="Times New Roman"/>
          <w:b/>
          <w:kern w:val="0"/>
          <w:sz w:val="21"/>
          <w:szCs w:val="21"/>
          <w:lang w:val="en-US" w:eastAsia="zh-CN"/>
        </w:rPr>
        <w:t>2.3 Test metric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u w:val="single"/>
              </w:rPr>
            </w:pPr>
            <w:r>
              <w:rPr>
                <w:b/>
                <w:sz w:val="20"/>
                <w:szCs w:val="20"/>
                <w:u w:val="single"/>
                <w:lang w:eastAsia="ko-KR"/>
              </w:rPr>
              <w:t>Issue 3-1-7: Test metric</w:t>
            </w:r>
          </w:p>
          <w:p>
            <w:pPr>
              <w:pStyle w:val="32"/>
              <w:numPr>
                <w:ilvl w:val="0"/>
                <w:numId w:val="7"/>
              </w:numPr>
              <w:overflowPunct w:val="0"/>
              <w:autoSpaceDE w:val="0"/>
              <w:autoSpaceDN w:val="0"/>
              <w:adjustRightInd w:val="0"/>
              <w:spacing w:after="120"/>
              <w:ind w:firstLineChars="0"/>
              <w:textAlignment w:val="baseline"/>
              <w:rPr>
                <w:rFonts w:eastAsia="宋体"/>
                <w:sz w:val="20"/>
                <w:szCs w:val="20"/>
              </w:rPr>
            </w:pPr>
            <w:r>
              <w:rPr>
                <w:rFonts w:eastAsia="宋体"/>
                <w:sz w:val="20"/>
                <w:szCs w:val="20"/>
              </w:rPr>
              <w:t>Option 1: Consider 70% and 30% throughput requirements for ATG PUSCH demodulation. (Ericsson, HW)</w:t>
            </w:r>
          </w:p>
          <w:p>
            <w:pPr>
              <w:pStyle w:val="32"/>
              <w:numPr>
                <w:ilvl w:val="0"/>
                <w:numId w:val="7"/>
              </w:numPr>
              <w:overflowPunct w:val="0"/>
              <w:autoSpaceDE w:val="0"/>
              <w:autoSpaceDN w:val="0"/>
              <w:adjustRightInd w:val="0"/>
              <w:spacing w:after="120"/>
              <w:ind w:firstLineChars="0"/>
              <w:textAlignment w:val="baseline"/>
              <w:rPr>
                <w:rFonts w:hint="eastAsia" w:ascii="Times New Roman" w:hAnsi="Times New Roman" w:eastAsia="宋体" w:cs="Times New Roman"/>
                <w:b/>
                <w:kern w:val="0"/>
                <w:sz w:val="21"/>
                <w:szCs w:val="21"/>
                <w:vertAlign w:val="baseline"/>
                <w:lang w:val="en-US" w:eastAsia="zh-CN" w:bidi="ar-SA"/>
              </w:rPr>
            </w:pPr>
            <w:r>
              <w:rPr>
                <w:rFonts w:eastAsia="宋体"/>
                <w:sz w:val="20"/>
                <w:szCs w:val="20"/>
              </w:rPr>
              <w:t>Option</w:t>
            </w:r>
            <w:r>
              <w:rPr>
                <w:rFonts w:hint="eastAsia" w:eastAsia="宋体"/>
                <w:sz w:val="20"/>
                <w:szCs w:val="20"/>
                <w:lang w:val="en-US" w:eastAsia="zh-CN"/>
              </w:rPr>
              <w:t xml:space="preserve"> </w:t>
            </w:r>
            <w:r>
              <w:rPr>
                <w:rFonts w:eastAsia="宋体"/>
                <w:sz w:val="20"/>
                <w:szCs w:val="20"/>
              </w:rPr>
              <w:t>2: 70% throughput requirements (CMCC, ZTE, Ericsson (for new incremental requirements), Samsung)</w:t>
            </w:r>
          </w:p>
        </w:tc>
      </w:tr>
    </w:tbl>
    <w:p>
      <w:pPr>
        <w:pStyle w:val="32"/>
        <w:numPr>
          <w:ilvl w:val="0"/>
          <w:numId w:val="0"/>
        </w:numPr>
        <w:spacing w:after="120"/>
        <w:rPr>
          <w:rFonts w:hint="eastAsia" w:ascii="Times New Roman" w:hAnsi="Times New Roman" w:eastAsia="宋体" w:cs="Times New Roman"/>
          <w:b/>
          <w:bCs/>
          <w:i/>
          <w:iCs/>
          <w:kern w:val="2"/>
          <w:sz w:val="20"/>
          <w:szCs w:val="20"/>
          <w:highlight w:val="none"/>
          <w:lang w:val="en-US" w:eastAsia="zh-CN" w:bidi="ar-SA"/>
        </w:rPr>
      </w:pPr>
    </w:p>
    <w:p>
      <w:pPr>
        <w:spacing w:beforeLines="-2147483648" w:after="180" w:afterLines="-2147483648" w:line="240" w:lineRule="auto"/>
        <w:jc w:val="both"/>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 xml:space="preserve">Firstly, for legacy BS demod requirements, 70% and 30% throughput requirements were defined in TS 38104 8.2.1. And 30% throughput requirements only covered 16QAM modulation. Since we have agreed reuse TN BS requirements for ATG scenario. So 70% and 30% throughput requirements could be covered. </w:t>
      </w:r>
    </w:p>
    <w:p>
      <w:pPr>
        <w:spacing w:beforeLines="-2147483648" w:after="180" w:afterLines="-2147483648" w:line="240" w:lineRule="auto"/>
        <w:jc w:val="left"/>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And for new dedicated requirements, we think there is no need to define 30% throughput requirement.</w:t>
      </w:r>
    </w:p>
    <w:p>
      <w:pPr>
        <w:pStyle w:val="32"/>
        <w:numPr>
          <w:ilvl w:val="0"/>
          <w:numId w:val="0"/>
        </w:numPr>
        <w:spacing w:after="120"/>
        <w:rPr>
          <w:rFonts w:hint="eastAsia" w:ascii="Times New Roman" w:hAnsi="Times New Roman" w:eastAsia="宋体" w:cs="Times New Roman"/>
          <w:b/>
          <w:bCs/>
          <w:i/>
          <w:iCs/>
          <w:kern w:val="2"/>
          <w:sz w:val="20"/>
          <w:szCs w:val="20"/>
          <w:highlight w:val="none"/>
          <w:lang w:val="en-US" w:eastAsia="zh-CN" w:bidi="ar-SA"/>
        </w:rPr>
      </w:pPr>
    </w:p>
    <w:p>
      <w:pPr>
        <w:pStyle w:val="32"/>
        <w:numPr>
          <w:ilvl w:val="0"/>
          <w:numId w:val="0"/>
        </w:numPr>
        <w:spacing w:after="120"/>
        <w:rPr>
          <w:rFonts w:hint="eastAsia" w:ascii="Times New Roman" w:hAnsi="Times New Roman" w:eastAsia="宋体" w:cs="Times New Roman"/>
          <w:b/>
          <w:kern w:val="0"/>
          <w:sz w:val="21"/>
          <w:szCs w:val="21"/>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eastAsia="宋体" w:cs="Times New Roman"/>
          <w:b/>
          <w:bCs/>
          <w:i/>
          <w:iCs/>
          <w:kern w:val="2"/>
          <w:sz w:val="20"/>
          <w:szCs w:val="20"/>
          <w:highlight w:val="none"/>
          <w:lang w:val="en-US" w:eastAsia="zh-CN" w:bidi="ar-SA"/>
        </w:rPr>
        <w:t>3</w:t>
      </w:r>
      <w:r>
        <w:rPr>
          <w:rFonts w:hint="eastAsia" w:ascii="Times New Roman" w:hAnsi="Times New Roman" w:eastAsia="宋体" w:cs="Times New Roman"/>
          <w:b/>
          <w:bCs/>
          <w:i/>
          <w:iCs/>
          <w:kern w:val="2"/>
          <w:sz w:val="20"/>
          <w:szCs w:val="20"/>
          <w:highlight w:val="none"/>
          <w:lang w:val="en-US" w:eastAsia="zh-CN" w:bidi="ar-SA"/>
        </w:rPr>
        <w:t>.</w:t>
      </w:r>
      <w:r>
        <w:rPr>
          <w:rFonts w:hint="eastAsia" w:eastAsia="宋体" w:cs="Times New Roman"/>
          <w:b/>
          <w:bCs/>
          <w:i/>
          <w:iCs/>
          <w:kern w:val="2"/>
          <w:sz w:val="20"/>
          <w:szCs w:val="20"/>
          <w:highlight w:val="none"/>
          <w:lang w:val="en-US" w:eastAsia="zh-CN" w:bidi="ar-SA"/>
        </w:rPr>
        <w:t xml:space="preserve"> Only consider 70% throughput requirements for new dedicated requirements.</w:t>
      </w:r>
    </w:p>
    <w:p>
      <w:pPr>
        <w:rPr>
          <w:b/>
          <w:sz w:val="21"/>
          <w:szCs w:val="21"/>
          <w:u w:val="single"/>
          <w:lang w:eastAsia="ko-KR"/>
        </w:rPr>
      </w:pPr>
    </w:p>
    <w:p>
      <w:pPr>
        <w:rPr>
          <w:rFonts w:hint="eastAsia" w:ascii="Times New Roman" w:hAnsi="Times New Roman" w:eastAsia="宋体" w:cs="Times New Roman"/>
          <w:b/>
          <w:kern w:val="0"/>
          <w:sz w:val="21"/>
          <w:szCs w:val="21"/>
          <w:lang w:val="en-US" w:eastAsia="zh-CN" w:bidi="ar-SA"/>
        </w:rPr>
      </w:pP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BS demodulation performance requirements for ATG , The conclusions are: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p>
    <w:p>
      <w:pPr>
        <w:numPr>
          <w:ilvl w:val="0"/>
          <w:numId w:val="0"/>
        </w:numPr>
        <w:spacing w:before="120" w:after="120"/>
        <w:rPr>
          <w:rFonts w:hint="eastAsia"/>
          <w:bCs/>
          <w:kern w:val="0"/>
          <w:sz w:val="21"/>
          <w:szCs w:val="21"/>
          <w:highlight w:val="none"/>
          <w:lang w:val="en-US" w:eastAsia="zh-CN"/>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1. To consider normal PUSCH demodulation as mandatory for ATG BS demodulation.</w:t>
      </w:r>
    </w:p>
    <w:p>
      <w:pPr>
        <w:rPr>
          <w:rFonts w:hint="eastAsia"/>
          <w:bCs/>
          <w:kern w:val="0"/>
          <w:sz w:val="21"/>
          <w:szCs w:val="21"/>
          <w:highlight w:val="none"/>
          <w:lang w:val="en-US" w:eastAsia="zh-CN"/>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cs="Times New Roman"/>
          <w:b/>
          <w:bCs/>
          <w:i/>
          <w:iCs/>
          <w:kern w:val="2"/>
          <w:sz w:val="20"/>
          <w:szCs w:val="20"/>
          <w:highlight w:val="none"/>
          <w:lang w:val="en-US" w:eastAsia="zh-CN" w:bidi="ar-SA"/>
        </w:rPr>
        <w:t>2. UL 256QAM can be supported in demod requirements.</w:t>
      </w:r>
    </w:p>
    <w:p>
      <w:pPr>
        <w:pStyle w:val="32"/>
        <w:numPr>
          <w:ilvl w:val="0"/>
          <w:numId w:val="0"/>
        </w:numPr>
        <w:spacing w:after="120"/>
        <w:rPr>
          <w:rFonts w:hint="eastAsia" w:ascii="Times New Roman" w:hAnsi="Times New Roman" w:eastAsia="宋体" w:cs="Times New Roman"/>
          <w:b/>
          <w:kern w:val="0"/>
          <w:sz w:val="21"/>
          <w:szCs w:val="21"/>
          <w:lang w:val="en-US" w:eastAsia="zh-CN" w:bidi="ar-SA"/>
        </w:rPr>
      </w:pPr>
      <w:r>
        <w:rPr>
          <w:rFonts w:hint="eastAsia" w:ascii="Times New Roman" w:hAnsi="Times New Roman" w:eastAsia="宋体" w:cs="Times New Roman"/>
          <w:b/>
          <w:bCs/>
          <w:i/>
          <w:iCs/>
          <w:kern w:val="2"/>
          <w:sz w:val="20"/>
          <w:szCs w:val="20"/>
          <w:highlight w:val="none"/>
          <w:lang w:val="en-US" w:eastAsia="zh-CN" w:bidi="ar-SA"/>
        </w:rPr>
        <w:t xml:space="preserve">Proposal </w:t>
      </w:r>
      <w:r>
        <w:rPr>
          <w:rFonts w:hint="eastAsia" w:eastAsia="宋体" w:cs="Times New Roman"/>
          <w:b/>
          <w:bCs/>
          <w:i/>
          <w:iCs/>
          <w:kern w:val="2"/>
          <w:sz w:val="20"/>
          <w:szCs w:val="20"/>
          <w:highlight w:val="none"/>
          <w:lang w:val="en-US" w:eastAsia="zh-CN" w:bidi="ar-SA"/>
        </w:rPr>
        <w:t>3</w:t>
      </w:r>
      <w:r>
        <w:rPr>
          <w:rFonts w:hint="eastAsia" w:ascii="Times New Roman" w:hAnsi="Times New Roman" w:eastAsia="宋体" w:cs="Times New Roman"/>
          <w:b/>
          <w:bCs/>
          <w:i/>
          <w:iCs/>
          <w:kern w:val="2"/>
          <w:sz w:val="20"/>
          <w:szCs w:val="20"/>
          <w:highlight w:val="none"/>
          <w:lang w:val="en-US" w:eastAsia="zh-CN" w:bidi="ar-SA"/>
        </w:rPr>
        <w:t>.</w:t>
      </w:r>
      <w:r>
        <w:rPr>
          <w:rFonts w:hint="eastAsia" w:eastAsia="宋体" w:cs="Times New Roman"/>
          <w:b/>
          <w:bCs/>
          <w:i/>
          <w:iCs/>
          <w:kern w:val="2"/>
          <w:sz w:val="20"/>
          <w:szCs w:val="20"/>
          <w:highlight w:val="none"/>
          <w:lang w:val="en-US" w:eastAsia="zh-CN" w:bidi="ar-SA"/>
        </w:rPr>
        <w:t xml:space="preserve"> Only consider 70% throughput requirements for new dedicated requirements.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R4-2309796</w:t>
      </w:r>
      <w:r>
        <w:rPr>
          <w:rFonts w:hint="eastAsia"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WF for ATG demodulation requirements. RAN4#107meeting. CMCC.</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 xml:space="preserve">[2]  </w:t>
      </w:r>
      <w:r>
        <w:rPr>
          <w:rFonts w:hint="eastAsia" w:ascii="Times New Roman" w:hAnsi="Times New Roman" w:eastAsia="宋体" w:cs="Times New Roman"/>
          <w:b w:val="0"/>
          <w:bCs w:val="0"/>
          <w:color w:val="auto"/>
          <w:sz w:val="20"/>
          <w:szCs w:val="20"/>
          <w:highlight w:val="none"/>
          <w:lang w:val="en-US" w:eastAsia="zh-CN"/>
        </w:rPr>
        <w:t>R4-231151</w:t>
      </w:r>
      <w:r>
        <w:rPr>
          <w:rFonts w:hint="eastAsia" w:cs="Times New Roman"/>
          <w:b w:val="0"/>
          <w:bCs w:val="0"/>
          <w:color w:val="auto"/>
          <w:sz w:val="20"/>
          <w:szCs w:val="20"/>
          <w:highlight w:val="none"/>
          <w:lang w:val="en-US" w:eastAsia="zh-CN"/>
        </w:rPr>
        <w:t xml:space="preserve">1, </w:t>
      </w:r>
      <w:bookmarkStart w:id="3" w:name="_GoBack"/>
      <w:bookmarkEnd w:id="3"/>
      <w:r>
        <w:rPr>
          <w:rFonts w:hint="eastAsia" w:ascii="Times New Roman" w:hAnsi="Times New Roman" w:eastAsia="宋体" w:cs="Times New Roman"/>
          <w:b w:val="0"/>
          <w:bCs w:val="0"/>
          <w:color w:val="auto"/>
          <w:sz w:val="20"/>
          <w:szCs w:val="20"/>
          <w:highlight w:val="none"/>
          <w:lang w:val="en-US" w:eastAsia="zh-CN"/>
        </w:rPr>
        <w:t>S</w:t>
      </w:r>
      <w:r>
        <w:rPr>
          <w:rFonts w:hint="eastAsia" w:cs="Times New Roman"/>
          <w:b w:val="0"/>
          <w:bCs w:val="0"/>
          <w:color w:val="auto"/>
          <w:sz w:val="20"/>
          <w:szCs w:val="20"/>
          <w:highlight w:val="none"/>
          <w:lang w:val="en-US" w:eastAsia="zh-CN"/>
        </w:rPr>
        <w:t>imulation results for ATG BS demodulation requirements, ZTE Corporation.</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val="0"/>
        <w:kinsoku/>
        <w:wordWrap/>
        <w:topLinePunct w:val="0"/>
        <w:bidi w:val="0"/>
        <w:spacing w:beforeLines="0" w:afterLines="0" w:line="240" w:lineRule="auto"/>
        <w:jc w:val="left"/>
        <w:rPr>
          <w:rFonts w:hint="eastAsia" w:eastAsia="宋体"/>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03423"/>
    <w:rsid w:val="01764F01"/>
    <w:rsid w:val="018107C9"/>
    <w:rsid w:val="01854FE9"/>
    <w:rsid w:val="018E207B"/>
    <w:rsid w:val="0190283E"/>
    <w:rsid w:val="019D155B"/>
    <w:rsid w:val="01A428BB"/>
    <w:rsid w:val="01AE307F"/>
    <w:rsid w:val="01B35169"/>
    <w:rsid w:val="01C00B7B"/>
    <w:rsid w:val="01D46B8D"/>
    <w:rsid w:val="01D866D8"/>
    <w:rsid w:val="01ED302E"/>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84582"/>
    <w:rsid w:val="033A0742"/>
    <w:rsid w:val="0341256C"/>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132897"/>
    <w:rsid w:val="04251A4C"/>
    <w:rsid w:val="042D2E97"/>
    <w:rsid w:val="04305EA0"/>
    <w:rsid w:val="043865BF"/>
    <w:rsid w:val="044C78D8"/>
    <w:rsid w:val="04537B11"/>
    <w:rsid w:val="04684A28"/>
    <w:rsid w:val="04754C69"/>
    <w:rsid w:val="0476348C"/>
    <w:rsid w:val="04782230"/>
    <w:rsid w:val="0479507E"/>
    <w:rsid w:val="04894975"/>
    <w:rsid w:val="04B14B03"/>
    <w:rsid w:val="04DA1A87"/>
    <w:rsid w:val="04DE2DA3"/>
    <w:rsid w:val="04F75CE9"/>
    <w:rsid w:val="04FF1C94"/>
    <w:rsid w:val="04FF7D5A"/>
    <w:rsid w:val="0502349F"/>
    <w:rsid w:val="050E7487"/>
    <w:rsid w:val="051126EC"/>
    <w:rsid w:val="05161D2D"/>
    <w:rsid w:val="0522500E"/>
    <w:rsid w:val="052E568F"/>
    <w:rsid w:val="053973F0"/>
    <w:rsid w:val="053E65E7"/>
    <w:rsid w:val="054D7F39"/>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5D1C02"/>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6C7E49"/>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16068"/>
    <w:rsid w:val="0D7F48FE"/>
    <w:rsid w:val="0D883C88"/>
    <w:rsid w:val="0D900677"/>
    <w:rsid w:val="0D966BF7"/>
    <w:rsid w:val="0DCC3AE8"/>
    <w:rsid w:val="0DD2139B"/>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22FA5"/>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209FC"/>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7E5790"/>
    <w:rsid w:val="108C2479"/>
    <w:rsid w:val="10C715C5"/>
    <w:rsid w:val="10D335EF"/>
    <w:rsid w:val="10E746EA"/>
    <w:rsid w:val="10E83FE0"/>
    <w:rsid w:val="10EC3168"/>
    <w:rsid w:val="10F52718"/>
    <w:rsid w:val="114028DC"/>
    <w:rsid w:val="116F1EB0"/>
    <w:rsid w:val="117B1D6A"/>
    <w:rsid w:val="117C2D9D"/>
    <w:rsid w:val="117E7D61"/>
    <w:rsid w:val="117F159E"/>
    <w:rsid w:val="11821DC9"/>
    <w:rsid w:val="11921373"/>
    <w:rsid w:val="119C45DF"/>
    <w:rsid w:val="119D7849"/>
    <w:rsid w:val="11C67B8F"/>
    <w:rsid w:val="11E57D4F"/>
    <w:rsid w:val="11F92DAB"/>
    <w:rsid w:val="11FC38D5"/>
    <w:rsid w:val="1201463E"/>
    <w:rsid w:val="12095296"/>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55918"/>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766322"/>
    <w:rsid w:val="14816B50"/>
    <w:rsid w:val="148313F4"/>
    <w:rsid w:val="1484169C"/>
    <w:rsid w:val="14934F1A"/>
    <w:rsid w:val="149559C4"/>
    <w:rsid w:val="14A759A3"/>
    <w:rsid w:val="14AC0C32"/>
    <w:rsid w:val="14C45576"/>
    <w:rsid w:val="14C76D6C"/>
    <w:rsid w:val="14DA3DA1"/>
    <w:rsid w:val="14DD3D2F"/>
    <w:rsid w:val="14E60B42"/>
    <w:rsid w:val="14EA1C4D"/>
    <w:rsid w:val="1515004B"/>
    <w:rsid w:val="151933B9"/>
    <w:rsid w:val="15207BBA"/>
    <w:rsid w:val="152E00DB"/>
    <w:rsid w:val="152F4E1B"/>
    <w:rsid w:val="154D342A"/>
    <w:rsid w:val="1559587F"/>
    <w:rsid w:val="156701E1"/>
    <w:rsid w:val="1574662E"/>
    <w:rsid w:val="15751882"/>
    <w:rsid w:val="1575191B"/>
    <w:rsid w:val="157818C6"/>
    <w:rsid w:val="15891D5D"/>
    <w:rsid w:val="159B6CB5"/>
    <w:rsid w:val="159F73BB"/>
    <w:rsid w:val="15B03F28"/>
    <w:rsid w:val="15CE0EBE"/>
    <w:rsid w:val="15DE29CF"/>
    <w:rsid w:val="15E30A80"/>
    <w:rsid w:val="15F77CD3"/>
    <w:rsid w:val="1608480E"/>
    <w:rsid w:val="161C1C58"/>
    <w:rsid w:val="162F7556"/>
    <w:rsid w:val="16413A3A"/>
    <w:rsid w:val="1644500C"/>
    <w:rsid w:val="16461A95"/>
    <w:rsid w:val="1646429E"/>
    <w:rsid w:val="16594F06"/>
    <w:rsid w:val="1663404B"/>
    <w:rsid w:val="16657954"/>
    <w:rsid w:val="166F5E80"/>
    <w:rsid w:val="16766A92"/>
    <w:rsid w:val="167A52A9"/>
    <w:rsid w:val="16866882"/>
    <w:rsid w:val="168C392F"/>
    <w:rsid w:val="168F69F2"/>
    <w:rsid w:val="169C7FDE"/>
    <w:rsid w:val="16A4319F"/>
    <w:rsid w:val="16AC4DDB"/>
    <w:rsid w:val="16AE2FE3"/>
    <w:rsid w:val="16B4400E"/>
    <w:rsid w:val="16C45A6E"/>
    <w:rsid w:val="16C739DF"/>
    <w:rsid w:val="16DD3B26"/>
    <w:rsid w:val="16EB6E00"/>
    <w:rsid w:val="16FD2447"/>
    <w:rsid w:val="1712339A"/>
    <w:rsid w:val="171E63FC"/>
    <w:rsid w:val="1722504D"/>
    <w:rsid w:val="17276DF4"/>
    <w:rsid w:val="1738730F"/>
    <w:rsid w:val="17416499"/>
    <w:rsid w:val="17481B81"/>
    <w:rsid w:val="175007ED"/>
    <w:rsid w:val="175E1D11"/>
    <w:rsid w:val="17610597"/>
    <w:rsid w:val="176B45C6"/>
    <w:rsid w:val="176C447F"/>
    <w:rsid w:val="176E29C4"/>
    <w:rsid w:val="17852314"/>
    <w:rsid w:val="17875303"/>
    <w:rsid w:val="1793626E"/>
    <w:rsid w:val="17A875F5"/>
    <w:rsid w:val="17B92501"/>
    <w:rsid w:val="17CB683D"/>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AD37F0"/>
    <w:rsid w:val="19AD5184"/>
    <w:rsid w:val="19B46E10"/>
    <w:rsid w:val="19C456C1"/>
    <w:rsid w:val="19DD71E7"/>
    <w:rsid w:val="19F061A1"/>
    <w:rsid w:val="1A054259"/>
    <w:rsid w:val="1A081816"/>
    <w:rsid w:val="1A165171"/>
    <w:rsid w:val="1A4858FF"/>
    <w:rsid w:val="1A4C698A"/>
    <w:rsid w:val="1A5E4B5A"/>
    <w:rsid w:val="1A672B1C"/>
    <w:rsid w:val="1A76203E"/>
    <w:rsid w:val="1A8301C0"/>
    <w:rsid w:val="1A872248"/>
    <w:rsid w:val="1A8C4797"/>
    <w:rsid w:val="1A9B2279"/>
    <w:rsid w:val="1A9E6232"/>
    <w:rsid w:val="1AA74D3D"/>
    <w:rsid w:val="1AB34DB4"/>
    <w:rsid w:val="1AB613FD"/>
    <w:rsid w:val="1AB6687D"/>
    <w:rsid w:val="1ACF5EB8"/>
    <w:rsid w:val="1AD26086"/>
    <w:rsid w:val="1AE013F8"/>
    <w:rsid w:val="1AE8570C"/>
    <w:rsid w:val="1AFB06A3"/>
    <w:rsid w:val="1B0F19AE"/>
    <w:rsid w:val="1B2160BB"/>
    <w:rsid w:val="1B3637AD"/>
    <w:rsid w:val="1B3E0DB5"/>
    <w:rsid w:val="1B454C94"/>
    <w:rsid w:val="1B5258E6"/>
    <w:rsid w:val="1B6A54A6"/>
    <w:rsid w:val="1B6C0DF0"/>
    <w:rsid w:val="1B754281"/>
    <w:rsid w:val="1B76379D"/>
    <w:rsid w:val="1B7F6005"/>
    <w:rsid w:val="1B9C269A"/>
    <w:rsid w:val="1B9E64C5"/>
    <w:rsid w:val="1BBE493C"/>
    <w:rsid w:val="1BC01115"/>
    <w:rsid w:val="1BC36606"/>
    <w:rsid w:val="1BC44015"/>
    <w:rsid w:val="1BCA6284"/>
    <w:rsid w:val="1BD146FC"/>
    <w:rsid w:val="1BF86C63"/>
    <w:rsid w:val="1C013494"/>
    <w:rsid w:val="1C053414"/>
    <w:rsid w:val="1C0C6675"/>
    <w:rsid w:val="1C0D38E2"/>
    <w:rsid w:val="1C132CB9"/>
    <w:rsid w:val="1C273D33"/>
    <w:rsid w:val="1C4032AB"/>
    <w:rsid w:val="1C4672ED"/>
    <w:rsid w:val="1C467AB6"/>
    <w:rsid w:val="1C4D51EF"/>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61760"/>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8A43F7"/>
    <w:rsid w:val="1E9D6342"/>
    <w:rsid w:val="1E9D6D15"/>
    <w:rsid w:val="1EA77730"/>
    <w:rsid w:val="1EC36E9D"/>
    <w:rsid w:val="1EDE4CB0"/>
    <w:rsid w:val="1EE25FDD"/>
    <w:rsid w:val="1EF0502F"/>
    <w:rsid w:val="1EF5103F"/>
    <w:rsid w:val="1EFF10B3"/>
    <w:rsid w:val="1F090F9B"/>
    <w:rsid w:val="1F0E5D6B"/>
    <w:rsid w:val="1F4F2219"/>
    <w:rsid w:val="1F6821EB"/>
    <w:rsid w:val="1F721405"/>
    <w:rsid w:val="1F935819"/>
    <w:rsid w:val="1FA6556D"/>
    <w:rsid w:val="1FAF2571"/>
    <w:rsid w:val="1FC55EDA"/>
    <w:rsid w:val="1FCE593C"/>
    <w:rsid w:val="1FE312AC"/>
    <w:rsid w:val="1FEC5915"/>
    <w:rsid w:val="1FED32EF"/>
    <w:rsid w:val="20446081"/>
    <w:rsid w:val="204852AD"/>
    <w:rsid w:val="204D092E"/>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F00127"/>
    <w:rsid w:val="21FD0E2A"/>
    <w:rsid w:val="22045B97"/>
    <w:rsid w:val="221D2FA3"/>
    <w:rsid w:val="22247705"/>
    <w:rsid w:val="2226635F"/>
    <w:rsid w:val="222C5659"/>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D25A2C"/>
    <w:rsid w:val="22E02C6E"/>
    <w:rsid w:val="22E04FF4"/>
    <w:rsid w:val="22E1121B"/>
    <w:rsid w:val="22EA4C70"/>
    <w:rsid w:val="22F75251"/>
    <w:rsid w:val="22F86F75"/>
    <w:rsid w:val="23131055"/>
    <w:rsid w:val="2316334C"/>
    <w:rsid w:val="233C6F76"/>
    <w:rsid w:val="234449F5"/>
    <w:rsid w:val="23501656"/>
    <w:rsid w:val="23536618"/>
    <w:rsid w:val="23816932"/>
    <w:rsid w:val="23A804EC"/>
    <w:rsid w:val="23A9484E"/>
    <w:rsid w:val="23B32F98"/>
    <w:rsid w:val="23B84268"/>
    <w:rsid w:val="23BC533D"/>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353B43"/>
    <w:rsid w:val="25734B61"/>
    <w:rsid w:val="257851FD"/>
    <w:rsid w:val="258F6BC4"/>
    <w:rsid w:val="25975923"/>
    <w:rsid w:val="259A3D0A"/>
    <w:rsid w:val="259C29DF"/>
    <w:rsid w:val="259C6CCE"/>
    <w:rsid w:val="25A95F3E"/>
    <w:rsid w:val="25BF6041"/>
    <w:rsid w:val="25C35718"/>
    <w:rsid w:val="25CF0252"/>
    <w:rsid w:val="25D0248E"/>
    <w:rsid w:val="25F81D70"/>
    <w:rsid w:val="25FB5636"/>
    <w:rsid w:val="25FE58A9"/>
    <w:rsid w:val="26070462"/>
    <w:rsid w:val="260D2C45"/>
    <w:rsid w:val="26240C98"/>
    <w:rsid w:val="26395C92"/>
    <w:rsid w:val="26484954"/>
    <w:rsid w:val="26561D2C"/>
    <w:rsid w:val="266237C3"/>
    <w:rsid w:val="267550B9"/>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12846"/>
    <w:rsid w:val="2792618A"/>
    <w:rsid w:val="279B1E53"/>
    <w:rsid w:val="27AB7429"/>
    <w:rsid w:val="27BB456D"/>
    <w:rsid w:val="27C57B2B"/>
    <w:rsid w:val="27C704E4"/>
    <w:rsid w:val="27C8029E"/>
    <w:rsid w:val="27CC78AC"/>
    <w:rsid w:val="27DB4A5E"/>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8F262BE"/>
    <w:rsid w:val="2903396A"/>
    <w:rsid w:val="29232CF8"/>
    <w:rsid w:val="292918ED"/>
    <w:rsid w:val="294E766A"/>
    <w:rsid w:val="295517E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72379"/>
    <w:rsid w:val="2C094904"/>
    <w:rsid w:val="2C0E55A1"/>
    <w:rsid w:val="2C3658B0"/>
    <w:rsid w:val="2C3A7BF6"/>
    <w:rsid w:val="2C425BCE"/>
    <w:rsid w:val="2C44676A"/>
    <w:rsid w:val="2C4A080C"/>
    <w:rsid w:val="2C54533B"/>
    <w:rsid w:val="2C5556B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DE84889"/>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BE5F5A"/>
    <w:rsid w:val="2ECA3116"/>
    <w:rsid w:val="2EDD7896"/>
    <w:rsid w:val="2EEA6E65"/>
    <w:rsid w:val="2F00052B"/>
    <w:rsid w:val="2F0367CD"/>
    <w:rsid w:val="2F0378D9"/>
    <w:rsid w:val="2F1251F2"/>
    <w:rsid w:val="2F4D49C0"/>
    <w:rsid w:val="2F4F6FBB"/>
    <w:rsid w:val="2F5B3F57"/>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A6264"/>
    <w:rsid w:val="304478EC"/>
    <w:rsid w:val="304A314A"/>
    <w:rsid w:val="30916BB1"/>
    <w:rsid w:val="30962F3E"/>
    <w:rsid w:val="30AA2585"/>
    <w:rsid w:val="30C16A19"/>
    <w:rsid w:val="30D32236"/>
    <w:rsid w:val="30F75D65"/>
    <w:rsid w:val="30FA7530"/>
    <w:rsid w:val="30FF2795"/>
    <w:rsid w:val="310375CD"/>
    <w:rsid w:val="311611B3"/>
    <w:rsid w:val="311A723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7A2C78"/>
    <w:rsid w:val="328F5534"/>
    <w:rsid w:val="329A6ACE"/>
    <w:rsid w:val="32A230DB"/>
    <w:rsid w:val="32CB6A28"/>
    <w:rsid w:val="32DF351E"/>
    <w:rsid w:val="32E0626F"/>
    <w:rsid w:val="32E45F9F"/>
    <w:rsid w:val="32E660DB"/>
    <w:rsid w:val="32EE5E41"/>
    <w:rsid w:val="32F40F87"/>
    <w:rsid w:val="32FD7C76"/>
    <w:rsid w:val="330C22FC"/>
    <w:rsid w:val="33247878"/>
    <w:rsid w:val="33403473"/>
    <w:rsid w:val="33540E5D"/>
    <w:rsid w:val="335A0521"/>
    <w:rsid w:val="335E7B11"/>
    <w:rsid w:val="3364318B"/>
    <w:rsid w:val="33691888"/>
    <w:rsid w:val="336A499A"/>
    <w:rsid w:val="33714830"/>
    <w:rsid w:val="33730A66"/>
    <w:rsid w:val="33737F51"/>
    <w:rsid w:val="337964FF"/>
    <w:rsid w:val="337D34FB"/>
    <w:rsid w:val="33960E28"/>
    <w:rsid w:val="33BF4199"/>
    <w:rsid w:val="33FE62E7"/>
    <w:rsid w:val="340819D4"/>
    <w:rsid w:val="340D25F6"/>
    <w:rsid w:val="342B76C7"/>
    <w:rsid w:val="34393277"/>
    <w:rsid w:val="343A1527"/>
    <w:rsid w:val="343F67B7"/>
    <w:rsid w:val="34447898"/>
    <w:rsid w:val="344E62FA"/>
    <w:rsid w:val="3472234D"/>
    <w:rsid w:val="347D500F"/>
    <w:rsid w:val="34830157"/>
    <w:rsid w:val="34872D27"/>
    <w:rsid w:val="349164BD"/>
    <w:rsid w:val="34BD02AE"/>
    <w:rsid w:val="34DA26A8"/>
    <w:rsid w:val="34E960F1"/>
    <w:rsid w:val="350B42D5"/>
    <w:rsid w:val="350F6258"/>
    <w:rsid w:val="351622C7"/>
    <w:rsid w:val="351A603C"/>
    <w:rsid w:val="352821F6"/>
    <w:rsid w:val="35303C42"/>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56CF3"/>
    <w:rsid w:val="36075F27"/>
    <w:rsid w:val="36121506"/>
    <w:rsid w:val="361D7A43"/>
    <w:rsid w:val="361F3323"/>
    <w:rsid w:val="36402EFA"/>
    <w:rsid w:val="36411CC2"/>
    <w:rsid w:val="364271C9"/>
    <w:rsid w:val="36490F1E"/>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CF4371"/>
    <w:rsid w:val="37D44549"/>
    <w:rsid w:val="37D77B09"/>
    <w:rsid w:val="37D97EDE"/>
    <w:rsid w:val="382B1BDF"/>
    <w:rsid w:val="382E392C"/>
    <w:rsid w:val="38342E90"/>
    <w:rsid w:val="384A24FB"/>
    <w:rsid w:val="384B7332"/>
    <w:rsid w:val="385056AF"/>
    <w:rsid w:val="38706DCB"/>
    <w:rsid w:val="387E6831"/>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13F51"/>
    <w:rsid w:val="3B185809"/>
    <w:rsid w:val="3B307112"/>
    <w:rsid w:val="3B540533"/>
    <w:rsid w:val="3B5A2A22"/>
    <w:rsid w:val="3B7804A3"/>
    <w:rsid w:val="3B781EF0"/>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32309"/>
    <w:rsid w:val="3CEC39B8"/>
    <w:rsid w:val="3CED1F0D"/>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D459DF"/>
    <w:rsid w:val="3DF95812"/>
    <w:rsid w:val="3E0209BD"/>
    <w:rsid w:val="3E1D023C"/>
    <w:rsid w:val="3E1D4B24"/>
    <w:rsid w:val="3E3A04FA"/>
    <w:rsid w:val="3E3D6B96"/>
    <w:rsid w:val="3E441C7D"/>
    <w:rsid w:val="3E490256"/>
    <w:rsid w:val="3E55739E"/>
    <w:rsid w:val="3E6C43C8"/>
    <w:rsid w:val="3E74637B"/>
    <w:rsid w:val="3E8227F0"/>
    <w:rsid w:val="3E91229A"/>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234C9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8A28CF"/>
    <w:rsid w:val="419278C8"/>
    <w:rsid w:val="41A35744"/>
    <w:rsid w:val="41D75714"/>
    <w:rsid w:val="41D94298"/>
    <w:rsid w:val="41DD3BC3"/>
    <w:rsid w:val="41EE2F03"/>
    <w:rsid w:val="41F466FD"/>
    <w:rsid w:val="42002BC7"/>
    <w:rsid w:val="42026B03"/>
    <w:rsid w:val="420D197F"/>
    <w:rsid w:val="42187EBE"/>
    <w:rsid w:val="421A1A3E"/>
    <w:rsid w:val="421C3DAC"/>
    <w:rsid w:val="4227435A"/>
    <w:rsid w:val="424B5824"/>
    <w:rsid w:val="426973AD"/>
    <w:rsid w:val="427A67A1"/>
    <w:rsid w:val="427E0B36"/>
    <w:rsid w:val="42874976"/>
    <w:rsid w:val="42A03D98"/>
    <w:rsid w:val="42B67F76"/>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76CA6"/>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D76CC"/>
    <w:rsid w:val="44DC46EB"/>
    <w:rsid w:val="44E50884"/>
    <w:rsid w:val="44F03F8F"/>
    <w:rsid w:val="44F14ECF"/>
    <w:rsid w:val="45275172"/>
    <w:rsid w:val="452754C3"/>
    <w:rsid w:val="452D0A06"/>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271A7"/>
    <w:rsid w:val="45A82F38"/>
    <w:rsid w:val="45AC0441"/>
    <w:rsid w:val="45B047D1"/>
    <w:rsid w:val="45BE6191"/>
    <w:rsid w:val="45BE648C"/>
    <w:rsid w:val="45CD2126"/>
    <w:rsid w:val="460C5979"/>
    <w:rsid w:val="46110AB3"/>
    <w:rsid w:val="46143B66"/>
    <w:rsid w:val="46214325"/>
    <w:rsid w:val="463246EC"/>
    <w:rsid w:val="463A3547"/>
    <w:rsid w:val="464E25C4"/>
    <w:rsid w:val="46555DC3"/>
    <w:rsid w:val="46617DB2"/>
    <w:rsid w:val="46621065"/>
    <w:rsid w:val="46665198"/>
    <w:rsid w:val="46697236"/>
    <w:rsid w:val="46703D0A"/>
    <w:rsid w:val="46770F8B"/>
    <w:rsid w:val="467C16FA"/>
    <w:rsid w:val="46894B18"/>
    <w:rsid w:val="469448C6"/>
    <w:rsid w:val="46A232B5"/>
    <w:rsid w:val="46B80AF8"/>
    <w:rsid w:val="46D37F0B"/>
    <w:rsid w:val="46D71533"/>
    <w:rsid w:val="46E53335"/>
    <w:rsid w:val="47040E98"/>
    <w:rsid w:val="47155D89"/>
    <w:rsid w:val="47173D82"/>
    <w:rsid w:val="4723554A"/>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96CE4"/>
    <w:rsid w:val="4B3E7ACE"/>
    <w:rsid w:val="4B57342A"/>
    <w:rsid w:val="4B7C4100"/>
    <w:rsid w:val="4B830F9B"/>
    <w:rsid w:val="4B9B0C47"/>
    <w:rsid w:val="4B9D4011"/>
    <w:rsid w:val="4BB36BDD"/>
    <w:rsid w:val="4BC32290"/>
    <w:rsid w:val="4BD0339A"/>
    <w:rsid w:val="4BF32495"/>
    <w:rsid w:val="4BFA3FA2"/>
    <w:rsid w:val="4C0B2B46"/>
    <w:rsid w:val="4C2A4544"/>
    <w:rsid w:val="4C2B4DDD"/>
    <w:rsid w:val="4C562920"/>
    <w:rsid w:val="4C5D1F92"/>
    <w:rsid w:val="4C603F16"/>
    <w:rsid w:val="4C6262E0"/>
    <w:rsid w:val="4C6703A3"/>
    <w:rsid w:val="4C6D7518"/>
    <w:rsid w:val="4C923A72"/>
    <w:rsid w:val="4CB96B0F"/>
    <w:rsid w:val="4CD315DD"/>
    <w:rsid w:val="4CE34E9F"/>
    <w:rsid w:val="4CED698D"/>
    <w:rsid w:val="4CF52D94"/>
    <w:rsid w:val="4D462159"/>
    <w:rsid w:val="4D566017"/>
    <w:rsid w:val="4D7D3EFB"/>
    <w:rsid w:val="4D8B0123"/>
    <w:rsid w:val="4DAF14C5"/>
    <w:rsid w:val="4DB9067A"/>
    <w:rsid w:val="4DC605B6"/>
    <w:rsid w:val="4DD732D2"/>
    <w:rsid w:val="4DDA2500"/>
    <w:rsid w:val="4DDD4847"/>
    <w:rsid w:val="4DEC0985"/>
    <w:rsid w:val="4E015422"/>
    <w:rsid w:val="4E0538A3"/>
    <w:rsid w:val="4E0B2BF7"/>
    <w:rsid w:val="4E0E6818"/>
    <w:rsid w:val="4E27683A"/>
    <w:rsid w:val="4E2E4069"/>
    <w:rsid w:val="4E3D4A94"/>
    <w:rsid w:val="4E4C50A3"/>
    <w:rsid w:val="4E510698"/>
    <w:rsid w:val="4E576363"/>
    <w:rsid w:val="4E635567"/>
    <w:rsid w:val="4E742982"/>
    <w:rsid w:val="4E9C0636"/>
    <w:rsid w:val="4EA30DB6"/>
    <w:rsid w:val="4EA7341F"/>
    <w:rsid w:val="4EAB17A2"/>
    <w:rsid w:val="4EDB58B2"/>
    <w:rsid w:val="4EE925CE"/>
    <w:rsid w:val="4EEF2E30"/>
    <w:rsid w:val="4EF24828"/>
    <w:rsid w:val="4EFE7F59"/>
    <w:rsid w:val="4F285975"/>
    <w:rsid w:val="4F2A7BF3"/>
    <w:rsid w:val="4F2E2624"/>
    <w:rsid w:val="4F431C53"/>
    <w:rsid w:val="4F4B49E4"/>
    <w:rsid w:val="4F4E1077"/>
    <w:rsid w:val="4F546156"/>
    <w:rsid w:val="4F844A99"/>
    <w:rsid w:val="4F8F094A"/>
    <w:rsid w:val="4F94662C"/>
    <w:rsid w:val="4FAC5950"/>
    <w:rsid w:val="4FB00163"/>
    <w:rsid w:val="4FB208E7"/>
    <w:rsid w:val="4FE30332"/>
    <w:rsid w:val="4FE70BB4"/>
    <w:rsid w:val="4FE73C01"/>
    <w:rsid w:val="4FE87C31"/>
    <w:rsid w:val="500815B6"/>
    <w:rsid w:val="500B39BC"/>
    <w:rsid w:val="5022123F"/>
    <w:rsid w:val="50265171"/>
    <w:rsid w:val="502B7315"/>
    <w:rsid w:val="50322A8C"/>
    <w:rsid w:val="503F32CF"/>
    <w:rsid w:val="5041152A"/>
    <w:rsid w:val="5054186F"/>
    <w:rsid w:val="507C28FA"/>
    <w:rsid w:val="507E1B25"/>
    <w:rsid w:val="50811A22"/>
    <w:rsid w:val="50896FD6"/>
    <w:rsid w:val="508E3B94"/>
    <w:rsid w:val="508E4492"/>
    <w:rsid w:val="5090223F"/>
    <w:rsid w:val="50924591"/>
    <w:rsid w:val="50985F96"/>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9179E2"/>
    <w:rsid w:val="53A20FFA"/>
    <w:rsid w:val="53A233E4"/>
    <w:rsid w:val="53A94C48"/>
    <w:rsid w:val="53AA7BC7"/>
    <w:rsid w:val="53AE5EA5"/>
    <w:rsid w:val="53B00B1F"/>
    <w:rsid w:val="53B2409D"/>
    <w:rsid w:val="53D6247A"/>
    <w:rsid w:val="53DB3477"/>
    <w:rsid w:val="53E77CBF"/>
    <w:rsid w:val="53FE7128"/>
    <w:rsid w:val="54020436"/>
    <w:rsid w:val="54247F22"/>
    <w:rsid w:val="542C29CD"/>
    <w:rsid w:val="542F1551"/>
    <w:rsid w:val="54381756"/>
    <w:rsid w:val="544903BF"/>
    <w:rsid w:val="544914A8"/>
    <w:rsid w:val="54596DB5"/>
    <w:rsid w:val="545A1EBF"/>
    <w:rsid w:val="54727478"/>
    <w:rsid w:val="54B06F11"/>
    <w:rsid w:val="54B56DF4"/>
    <w:rsid w:val="54B93943"/>
    <w:rsid w:val="54BE5578"/>
    <w:rsid w:val="54BF52B5"/>
    <w:rsid w:val="54D202CA"/>
    <w:rsid w:val="54D54E59"/>
    <w:rsid w:val="54DD41DB"/>
    <w:rsid w:val="54E13FC9"/>
    <w:rsid w:val="54E43C38"/>
    <w:rsid w:val="54ED3D78"/>
    <w:rsid w:val="54F52BA3"/>
    <w:rsid w:val="54F54E04"/>
    <w:rsid w:val="550B4121"/>
    <w:rsid w:val="550D5CFC"/>
    <w:rsid w:val="55197997"/>
    <w:rsid w:val="552A6B56"/>
    <w:rsid w:val="5532385A"/>
    <w:rsid w:val="554748F2"/>
    <w:rsid w:val="554D414C"/>
    <w:rsid w:val="554E7279"/>
    <w:rsid w:val="55594FFB"/>
    <w:rsid w:val="55637CEB"/>
    <w:rsid w:val="55650960"/>
    <w:rsid w:val="55757FB9"/>
    <w:rsid w:val="557E7C86"/>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97E86"/>
    <w:rsid w:val="577B3337"/>
    <w:rsid w:val="57A33734"/>
    <w:rsid w:val="57AB6ADD"/>
    <w:rsid w:val="57BD72A7"/>
    <w:rsid w:val="57BE5838"/>
    <w:rsid w:val="57FC07D9"/>
    <w:rsid w:val="57FF6992"/>
    <w:rsid w:val="580F1B21"/>
    <w:rsid w:val="581B7E79"/>
    <w:rsid w:val="58341BF0"/>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2379AE"/>
    <w:rsid w:val="5A3C0F08"/>
    <w:rsid w:val="5A3E5B83"/>
    <w:rsid w:val="5A5663A3"/>
    <w:rsid w:val="5A571746"/>
    <w:rsid w:val="5A6253E3"/>
    <w:rsid w:val="5A8E6670"/>
    <w:rsid w:val="5A912613"/>
    <w:rsid w:val="5A9245E9"/>
    <w:rsid w:val="5A953D41"/>
    <w:rsid w:val="5AAC6EDC"/>
    <w:rsid w:val="5ABC50F4"/>
    <w:rsid w:val="5ACC4940"/>
    <w:rsid w:val="5AD86A6D"/>
    <w:rsid w:val="5AE11C9F"/>
    <w:rsid w:val="5AEC14F6"/>
    <w:rsid w:val="5AEC4B1F"/>
    <w:rsid w:val="5AEE5B83"/>
    <w:rsid w:val="5AF124A4"/>
    <w:rsid w:val="5B141085"/>
    <w:rsid w:val="5B141ACD"/>
    <w:rsid w:val="5B28192B"/>
    <w:rsid w:val="5B2E7D32"/>
    <w:rsid w:val="5B66707B"/>
    <w:rsid w:val="5B673066"/>
    <w:rsid w:val="5B785E83"/>
    <w:rsid w:val="5B7C1CD1"/>
    <w:rsid w:val="5B82056F"/>
    <w:rsid w:val="5B844C2C"/>
    <w:rsid w:val="5B8E0DA3"/>
    <w:rsid w:val="5B9251EF"/>
    <w:rsid w:val="5BAB5BC4"/>
    <w:rsid w:val="5BB20B74"/>
    <w:rsid w:val="5BC17C0C"/>
    <w:rsid w:val="5BC677D8"/>
    <w:rsid w:val="5BD32E77"/>
    <w:rsid w:val="5BE56907"/>
    <w:rsid w:val="5BEB0120"/>
    <w:rsid w:val="5BF420D1"/>
    <w:rsid w:val="5C097C4E"/>
    <w:rsid w:val="5C1821C2"/>
    <w:rsid w:val="5C1A3A93"/>
    <w:rsid w:val="5C235386"/>
    <w:rsid w:val="5C3B6CFC"/>
    <w:rsid w:val="5C4C2CF4"/>
    <w:rsid w:val="5C6B1600"/>
    <w:rsid w:val="5C712B6D"/>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269A6"/>
    <w:rsid w:val="5E237029"/>
    <w:rsid w:val="5E2E6F9A"/>
    <w:rsid w:val="5E3A3BD1"/>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A82C97"/>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705965"/>
    <w:rsid w:val="6182260C"/>
    <w:rsid w:val="61D43A2B"/>
    <w:rsid w:val="61D61F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456DB"/>
    <w:rsid w:val="649B1AC2"/>
    <w:rsid w:val="64A7467B"/>
    <w:rsid w:val="64C86505"/>
    <w:rsid w:val="64FE700F"/>
    <w:rsid w:val="6500327F"/>
    <w:rsid w:val="6506609B"/>
    <w:rsid w:val="65083216"/>
    <w:rsid w:val="651630D2"/>
    <w:rsid w:val="65460728"/>
    <w:rsid w:val="65822810"/>
    <w:rsid w:val="65870C45"/>
    <w:rsid w:val="65AA6346"/>
    <w:rsid w:val="65B56C47"/>
    <w:rsid w:val="65B8262E"/>
    <w:rsid w:val="65B867A2"/>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261FD"/>
    <w:rsid w:val="677A266A"/>
    <w:rsid w:val="677C1A81"/>
    <w:rsid w:val="677F5D95"/>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77"/>
    <w:rsid w:val="698C13C5"/>
    <w:rsid w:val="69AE1F57"/>
    <w:rsid w:val="69EE7649"/>
    <w:rsid w:val="69F0745A"/>
    <w:rsid w:val="69F96885"/>
    <w:rsid w:val="6A1D59EC"/>
    <w:rsid w:val="6A247F72"/>
    <w:rsid w:val="6A3E2393"/>
    <w:rsid w:val="6A435B92"/>
    <w:rsid w:val="6A444DB8"/>
    <w:rsid w:val="6A4D4828"/>
    <w:rsid w:val="6A516AC3"/>
    <w:rsid w:val="6A5303BA"/>
    <w:rsid w:val="6A677080"/>
    <w:rsid w:val="6A6B4F3D"/>
    <w:rsid w:val="6A711183"/>
    <w:rsid w:val="6A762B91"/>
    <w:rsid w:val="6A7B4B9C"/>
    <w:rsid w:val="6A973A89"/>
    <w:rsid w:val="6A9F1E6A"/>
    <w:rsid w:val="6AAF014C"/>
    <w:rsid w:val="6ACB082B"/>
    <w:rsid w:val="6AD21610"/>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5A5297"/>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F43BD4"/>
    <w:rsid w:val="6E0E1FAB"/>
    <w:rsid w:val="6E126D62"/>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676C"/>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CD3490"/>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25E76"/>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44F5A"/>
    <w:rsid w:val="74B808BF"/>
    <w:rsid w:val="75084E8F"/>
    <w:rsid w:val="75202656"/>
    <w:rsid w:val="7535452A"/>
    <w:rsid w:val="75752B04"/>
    <w:rsid w:val="758910BB"/>
    <w:rsid w:val="75955DA9"/>
    <w:rsid w:val="75977910"/>
    <w:rsid w:val="759F2A35"/>
    <w:rsid w:val="75B15C41"/>
    <w:rsid w:val="75D12923"/>
    <w:rsid w:val="75DD44B5"/>
    <w:rsid w:val="75DE5B10"/>
    <w:rsid w:val="75EA364B"/>
    <w:rsid w:val="75F20996"/>
    <w:rsid w:val="75F96973"/>
    <w:rsid w:val="76123E1D"/>
    <w:rsid w:val="762A17C0"/>
    <w:rsid w:val="76425118"/>
    <w:rsid w:val="764838B9"/>
    <w:rsid w:val="764B15DA"/>
    <w:rsid w:val="764C09B4"/>
    <w:rsid w:val="764F5A52"/>
    <w:rsid w:val="766A4A0D"/>
    <w:rsid w:val="767E25B4"/>
    <w:rsid w:val="7692667A"/>
    <w:rsid w:val="76982273"/>
    <w:rsid w:val="769A7352"/>
    <w:rsid w:val="769F57F6"/>
    <w:rsid w:val="76A177B8"/>
    <w:rsid w:val="76AD2761"/>
    <w:rsid w:val="76B64E53"/>
    <w:rsid w:val="76B8001A"/>
    <w:rsid w:val="76BC314A"/>
    <w:rsid w:val="76CC1200"/>
    <w:rsid w:val="76CF29D3"/>
    <w:rsid w:val="76EC51FD"/>
    <w:rsid w:val="76F410B8"/>
    <w:rsid w:val="771B67DF"/>
    <w:rsid w:val="77451578"/>
    <w:rsid w:val="77692EA3"/>
    <w:rsid w:val="77803798"/>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18142C"/>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37361"/>
    <w:rsid w:val="792730E6"/>
    <w:rsid w:val="793355D1"/>
    <w:rsid w:val="79395A92"/>
    <w:rsid w:val="794008FB"/>
    <w:rsid w:val="794708D9"/>
    <w:rsid w:val="794B21A1"/>
    <w:rsid w:val="7964574A"/>
    <w:rsid w:val="79874847"/>
    <w:rsid w:val="79941CF2"/>
    <w:rsid w:val="79973382"/>
    <w:rsid w:val="79D33056"/>
    <w:rsid w:val="79EC0256"/>
    <w:rsid w:val="79F60153"/>
    <w:rsid w:val="79FB6E2C"/>
    <w:rsid w:val="7A000A00"/>
    <w:rsid w:val="7A0E4AC7"/>
    <w:rsid w:val="7A4C2D60"/>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762E74"/>
    <w:rsid w:val="7B851730"/>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04B5F"/>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 w:type="paragraph" w:customStyle="1" w:styleId="7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9</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2023-08-11T01:12:10Z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